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93" w:rsidRPr="00804586" w:rsidRDefault="002A7793" w:rsidP="002A7793">
      <w:pPr>
        <w:jc w:val="center"/>
        <w:rPr>
          <w:rFonts w:ascii="Times New Roman" w:hAnsi="Times New Roman" w:cs="Times New Roman"/>
        </w:rPr>
      </w:pPr>
      <w:r w:rsidRPr="00804586">
        <w:rPr>
          <w:rFonts w:ascii="Times New Roman" w:hAnsi="Times New Roman" w:cs="Times New Roman"/>
          <w:noProof/>
        </w:rPr>
        <w:drawing>
          <wp:inline distT="0" distB="0" distL="0" distR="0">
            <wp:extent cx="2683207" cy="893926"/>
            <wp:effectExtent l="19050" t="0" r="2843" b="0"/>
            <wp:docPr id="1" name="Рисунок 1" descr="C:\Users\smirnova\Desktop\базовые данные УМЦ\партнеры\Ассоциация Аналитика\конкурс АА\Jung Analitik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базовые данные УМЦ\партнеры\Ассоциация Аналитика\конкурс АА\Jung Analitik 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253" b="3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53" cy="8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93" w:rsidRPr="00804586" w:rsidRDefault="002A7793" w:rsidP="002A7793">
      <w:pPr>
        <w:rPr>
          <w:rFonts w:ascii="Times New Roman" w:hAnsi="Times New Roman" w:cs="Times New Roman"/>
        </w:rPr>
      </w:pPr>
    </w:p>
    <w:p w:rsidR="002A7793" w:rsidRPr="00804586" w:rsidRDefault="002A7793" w:rsidP="002A7793">
      <w:pPr>
        <w:pStyle w:val="af3"/>
        <w:rPr>
          <w:rFonts w:ascii="Times New Roman" w:hAnsi="Times New Roman" w:cs="Times New Roman"/>
          <w:sz w:val="48"/>
        </w:rPr>
      </w:pPr>
      <w:r w:rsidRPr="00804586">
        <w:rPr>
          <w:rFonts w:ascii="Times New Roman" w:hAnsi="Times New Roman" w:cs="Times New Roman"/>
          <w:sz w:val="48"/>
        </w:rPr>
        <w:t>Положение о III Всероссийском конкурсе «Молодой аналитик»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5"/>
        <w:numPr>
          <w:ilvl w:val="0"/>
          <w:numId w:val="14"/>
        </w:numPr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Всероссийский конкурс «Молодой аналитик» (далее — Конкурс) учрежден Ассоциацией развития аналитического потенциала личности, общества и государства «Аналитика» при участии Коллегии Военно-промышленной комиссии РФ и Общественной палаты РФ.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2A7793" w:rsidRPr="00804586" w:rsidRDefault="002A7793" w:rsidP="002A7793">
      <w:pPr>
        <w:pStyle w:val="af1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молодых специалистов и ученых, обладающих набором личных качеств и компетенций, обеспечивающих высокий потенциал профессионального роста в сфере аналитической деятельности;</w:t>
      </w:r>
    </w:p>
    <w:p w:rsidR="002A7793" w:rsidRPr="00804586" w:rsidRDefault="002A7793" w:rsidP="002A7793">
      <w:pPr>
        <w:pStyle w:val="af1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конкурсантов и лауреатов Конкурса в деятельность профессионального сообщества, обеспечивающую возможности для профессионального роста и эффективной экспертно-аналитической деятельности в интересах российского государственного и корпоративного управления;</w:t>
      </w:r>
    </w:p>
    <w:p w:rsidR="002A7793" w:rsidRPr="00804586" w:rsidRDefault="002A7793" w:rsidP="002A7793">
      <w:pPr>
        <w:pStyle w:val="af1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деятельности молодых специалистов по всестороннему и глубокому осмыслению актуальных социально-экономических, технологических и военно-политических процессов;</w:t>
      </w:r>
    </w:p>
    <w:p w:rsidR="002A7793" w:rsidRPr="00804586" w:rsidRDefault="002A7793" w:rsidP="002A7793">
      <w:pPr>
        <w:pStyle w:val="af1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укрепление факторов интеллектуальной поддержки социально-экономического развития страны с использованием аналитического потенциала молодых специалистов;</w:t>
      </w:r>
    </w:p>
    <w:p w:rsidR="002A7793" w:rsidRPr="00804586" w:rsidRDefault="002A7793" w:rsidP="002A7793">
      <w:pPr>
        <w:pStyle w:val="af1"/>
        <w:numPr>
          <w:ilvl w:val="0"/>
          <w:numId w:val="25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аналитической деятельности на всей территории Российской Федерации, </w:t>
      </w:r>
      <w:r w:rsidRPr="00804586">
        <w:rPr>
          <w:rFonts w:ascii="Times New Roman" w:hAnsi="Times New Roman" w:cs="Times New Roman"/>
          <w:sz w:val="28"/>
          <w:szCs w:val="28"/>
        </w:rPr>
        <w:t>а также стран, входящих в интеграционные объединения (ЕАЭС, СНГ, ОДКБ)</w:t>
      </w:r>
      <w:r w:rsidRPr="008045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К участию в Конкурсе приглашаются граждане Российской Федерации, а также стран, входящих в интеграционные объединения (ЕАЭС, СНГ, ОДКБ), в возрасте 20–35 лет. Обязательным условиям допуска к выполнению заданий Конкурса является прохождение регистрации в установленном порядке (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>. п. 3 настоящего Положения). Иных условий ограничения допуска к выполнению заданий Конкурса, включая уровень и направление базового образования, сферы профессиональной и общественной деятельности, не предусмотрено.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lastRenderedPageBreak/>
        <w:t>Заявки от граждан других государств принимаются в особом порядке (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>. п. 3.2. настоящего Положения).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 ходе Конкурса участник должен продемонстрировать высокий уровень потенциала и компетентности, чтобы: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выявить уязвимость и сформулировать суть проблемы;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сформировать перечень необходимых источников информации для анализа факторов проблемы;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адекватно интерпретировать социальный, экономический и управленческий контексты проблемы;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предложить аргументированный способ решения проблемы;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определить субъекты и архитектуру проекта по решению проблемы;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провести социально значимую работу на высоком уровне профессионализма и ответственности за результат;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внести конструктивные предложения для структур, принимающих решения, с учетом балансировки и гармонизации целей различных групп интересов и проектов;</w:t>
      </w:r>
    </w:p>
    <w:p w:rsidR="002A7793" w:rsidRPr="00804586" w:rsidRDefault="002A7793" w:rsidP="002A7793">
      <w:pPr>
        <w:pStyle w:val="af1"/>
        <w:numPr>
          <w:ilvl w:val="1"/>
          <w:numId w:val="37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принять участие в реализации предложений и идей с целью содействия достижению наивысшего результата для общественного блага.</w:t>
      </w:r>
    </w:p>
    <w:p w:rsidR="002A7793" w:rsidRPr="00804586" w:rsidRDefault="002A7793" w:rsidP="002A7793">
      <w:pPr>
        <w:pStyle w:val="af1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Общая тематическая платформа Конкурса «Будущее-2030» включает в себя следующие специализированные направления для конкурсных работ (на выбор участника):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Большие вызовы научно-технологического развития.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Цифровая экономика.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Кадры и человеческий капитал.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Инфраструктура и среда.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Взаимодействие и кооперация.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Управление и инвестиции.</w:t>
      </w:r>
    </w:p>
    <w:p w:rsidR="002A7793" w:rsidRPr="00804586" w:rsidRDefault="002A7793" w:rsidP="002A7793">
      <w:pPr>
        <w:pStyle w:val="af1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Сотрудничество и интеграция.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Официальный сайт Конкурса — </w:t>
      </w:r>
      <w:hyperlink r:id="rId8" w:history="1">
        <w:r w:rsidRPr="00804586">
          <w:rPr>
            <w:rStyle w:val="ae"/>
            <w:rFonts w:ascii="Times New Roman" w:hAnsi="Times New Roman" w:cs="Times New Roman"/>
            <w:sz w:val="28"/>
            <w:szCs w:val="28"/>
          </w:rPr>
          <w:t>http://kma.inesnet.ru/</w:t>
        </w:r>
      </w:hyperlink>
      <w:r w:rsidRPr="0080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93" w:rsidRPr="00804586" w:rsidRDefault="002A7793" w:rsidP="002A77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5"/>
        <w:numPr>
          <w:ilvl w:val="0"/>
          <w:numId w:val="14"/>
        </w:numPr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Организационная структура проектной группы по проведению Конкурса</w:t>
      </w: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Организационная структура проектной группы сформирована по сетевому принципу в целях:</w:t>
      </w:r>
    </w:p>
    <w:p w:rsidR="002A7793" w:rsidRPr="00804586" w:rsidRDefault="002A7793" w:rsidP="002A7793">
      <w:pPr>
        <w:pStyle w:val="af1"/>
        <w:numPr>
          <w:ilvl w:val="0"/>
          <w:numId w:val="26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развития распределенной системы аналитических центров в процессе и по итогам проведения Конкурса;</w:t>
      </w:r>
    </w:p>
    <w:p w:rsidR="002A7793" w:rsidRPr="00804586" w:rsidRDefault="002A7793" w:rsidP="002A7793">
      <w:pPr>
        <w:pStyle w:val="af1"/>
        <w:numPr>
          <w:ilvl w:val="0"/>
          <w:numId w:val="26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создания комфортных условий для консолидации профессиональных аналитиков в регионах;</w:t>
      </w:r>
    </w:p>
    <w:p w:rsidR="002A7793" w:rsidRPr="00804586" w:rsidRDefault="002A7793" w:rsidP="002A7793">
      <w:pPr>
        <w:pStyle w:val="af1"/>
        <w:numPr>
          <w:ilvl w:val="0"/>
          <w:numId w:val="26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вовлечения молодых специалистов в аналитическую деятельность профессиональных аналитических сообществ на всей территории Российской Федерации.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lastRenderedPageBreak/>
        <w:t>Экспертное и методологическое руководство проектом по проведению Конкурса осуществляет экспертный совет Конкурса, возглавляемый председателем экспертного совета из числа руководящего состава Ассоциации «Аналитика». В функционал экспертного совета входит:</w:t>
      </w:r>
    </w:p>
    <w:p w:rsidR="002A7793" w:rsidRPr="00804586" w:rsidRDefault="002A7793" w:rsidP="002A7793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утверждение целей и задач, условий и планов работ по организации и проведению Конкурса;</w:t>
      </w:r>
    </w:p>
    <w:p w:rsidR="002A7793" w:rsidRPr="00804586" w:rsidRDefault="002A7793" w:rsidP="002A7793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обеспечение финансирования проекта по проведению Конкурса;</w:t>
      </w:r>
    </w:p>
    <w:p w:rsidR="002A7793" w:rsidRPr="00804586" w:rsidRDefault="002A7793" w:rsidP="002A7793">
      <w:pPr>
        <w:pStyle w:val="af1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вовлечение в проект по проведению Конкурса представителей руководящего состава государственных и деловых структур, а также крупных федеральных и отраслевых СМИ.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586">
        <w:rPr>
          <w:rFonts w:ascii="Times New Roman" w:hAnsi="Times New Roman" w:cs="Times New Roman"/>
          <w:sz w:val="28"/>
          <w:szCs w:val="28"/>
        </w:rPr>
        <w:t>Функция экспертного совета Конкурса в 2017 г. возложена на исполнительный комитет Ассоциации «Аналитика» и специально приглашенных экспертов.</w:t>
      </w:r>
      <w:proofErr w:type="gramEnd"/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Общую координацию деятельности по проведению Конкурса осуществляет единый координационный центр, в функционал которого входит: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формулирование и представление на утверждение в экспертный совет Конкурса приоритетных задач, условий, методологии и планов работ по организации и проведению Конкурса;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утверждение финансового плана Конкурса и при необходимости внесение в него изменений;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формирование и утверждение состава жюри для всех этапов Конкурса в соответствии с настоящим Положением;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обеспечение информационной поддержки Конкурса, включая ведение официального сайта Конкурса;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координация работы жюри Конкурса в течение всего периода его проведения;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сбор заявок и формирование общероссийской базы заявок на участие в Конкурсе;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прием заданий Конкурса;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подготовка и организация проведения церемонии награждения победителей и лауреатов Конкурса;</w:t>
      </w:r>
    </w:p>
    <w:p w:rsidR="002A7793" w:rsidRPr="00804586" w:rsidRDefault="002A7793" w:rsidP="002A7793">
      <w:pPr>
        <w:pStyle w:val="af1"/>
        <w:numPr>
          <w:ilvl w:val="0"/>
          <w:numId w:val="28"/>
        </w:numPr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внесение изменений в настоящее Положение.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Функция единого координационного центра в 2017 г. возложена на Институт экономических стратегий (ИНЭС). Контакты: +7 (495) 234 4697; </w:t>
      </w:r>
    </w:p>
    <w:p w:rsidR="002A7793" w:rsidRPr="00804586" w:rsidRDefault="00B37F0A" w:rsidP="002A7793">
      <w:pPr>
        <w:pStyle w:val="af1"/>
        <w:jc w:val="both"/>
        <w:rPr>
          <w:rFonts w:ascii="Times New Roman" w:hAnsi="Times New Roman" w:cs="Times New Roman"/>
          <w:sz w:val="28"/>
        </w:rPr>
      </w:pPr>
      <w:hyperlink r:id="rId9" w:history="1">
        <w:r w:rsidR="002A7793" w:rsidRPr="00804586">
          <w:rPr>
            <w:rStyle w:val="ae"/>
            <w:rFonts w:ascii="Times New Roman" w:hAnsi="Times New Roman" w:cs="Times New Roman"/>
            <w:sz w:val="28"/>
            <w:szCs w:val="28"/>
          </w:rPr>
          <w:t>http://www.inesnet.ru/</w:t>
        </w:r>
      </w:hyperlink>
      <w:r w:rsidR="002A7793" w:rsidRPr="00804586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2A7793" w:rsidRPr="00804586">
          <w:rPr>
            <w:rFonts w:ascii="Times New Roman" w:hAnsi="Times New Roman" w:cs="Times New Roman"/>
            <w:sz w:val="28"/>
          </w:rPr>
          <w:t>vkma-2017@yandex.ru</w:t>
        </w:r>
      </w:hyperlink>
      <w:r w:rsidR="002A7793" w:rsidRPr="00804586">
        <w:rPr>
          <w:rFonts w:ascii="Times New Roman" w:hAnsi="Times New Roman" w:cs="Times New Roman"/>
          <w:sz w:val="28"/>
        </w:rPr>
        <w:t xml:space="preserve">. 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Работу по повышению стартового уровня участников проводят операторы Конкурса из числа победителей </w:t>
      </w:r>
      <w:r w:rsidRPr="00804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4586">
        <w:rPr>
          <w:rFonts w:ascii="Times New Roman" w:hAnsi="Times New Roman" w:cs="Times New Roman"/>
          <w:sz w:val="28"/>
          <w:szCs w:val="28"/>
        </w:rPr>
        <w:t xml:space="preserve"> и </w:t>
      </w:r>
      <w:r w:rsidRPr="008045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586">
        <w:rPr>
          <w:rFonts w:ascii="Times New Roman" w:hAnsi="Times New Roman" w:cs="Times New Roman"/>
          <w:sz w:val="28"/>
          <w:szCs w:val="28"/>
        </w:rPr>
        <w:t xml:space="preserve"> Всероссийских конкурсов «Молодой аналитик». Операторы уполномочены в период приема заявок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программу отбора наиболее перспективных кандидатов для участия в </w:t>
      </w:r>
      <w:r w:rsidRPr="008045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4586">
        <w:rPr>
          <w:rFonts w:ascii="Times New Roman" w:hAnsi="Times New Roman" w:cs="Times New Roman"/>
          <w:sz w:val="28"/>
          <w:szCs w:val="28"/>
        </w:rPr>
        <w:t xml:space="preserve"> Всероссийском конкурсе «Молодой аналитик» из числа сотрудников организаций, в которых работают, и/или из числа сети партнеров. Методология отбора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разрабатывается единым координационным центром и передается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оператору при условии согласия оператора следовать принципам </w:t>
      </w:r>
      <w:r w:rsidRPr="00804586">
        <w:rPr>
          <w:rFonts w:ascii="Times New Roman" w:hAnsi="Times New Roman" w:cs="Times New Roman"/>
          <w:sz w:val="28"/>
          <w:szCs w:val="28"/>
        </w:rPr>
        <w:lastRenderedPageBreak/>
        <w:t>данной методологии. Для подтверждения полномочий оператору выдается именной электронный сертификат.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Организации, СМИ и частные лица, оказывающие поддержку Конкурсу, входят в состав партнеров Конкурса. Функционал и деловые возможности каждого партнера обсуждаются с единым координационным центром. Список партнеров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публикуется на сайте и обновляется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по мере привлечения новых партнеров.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793" w:rsidRPr="00804586" w:rsidRDefault="002A7793" w:rsidP="002A7793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Порядок регистрации и участия в Конкурсе</w:t>
      </w:r>
    </w:p>
    <w:p w:rsidR="002A7793" w:rsidRPr="00804586" w:rsidRDefault="002A7793" w:rsidP="002A7793">
      <w:pPr>
        <w:pStyle w:val="af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осуществляется до 23:59 14 апреля 2017 г. Регистрация участника Конкурса осуществляется самостоятельно через электронную заявку по ссылке на официальном сайте Конкурса </w:t>
      </w:r>
      <w:hyperlink r:id="rId11" w:history="1">
        <w:r w:rsidRPr="00804586">
          <w:rPr>
            <w:rStyle w:val="ae"/>
            <w:rFonts w:ascii="Times New Roman" w:hAnsi="Times New Roman" w:cs="Times New Roman"/>
            <w:sz w:val="28"/>
            <w:szCs w:val="28"/>
          </w:rPr>
          <w:t>http://kma.inesnet.ru/</w:t>
        </w:r>
      </w:hyperlink>
      <w:r w:rsidRPr="00804586">
        <w:rPr>
          <w:rFonts w:ascii="Times New Roman" w:hAnsi="Times New Roman" w:cs="Times New Roman"/>
          <w:sz w:val="28"/>
          <w:szCs w:val="28"/>
        </w:rPr>
        <w:t>. В электронной заявке конкурсант указывает следующие данные о себе: ФИО, дата рождения, организация, занимаемая должность, регион. Заполнив и отправив заявку, участник считается давшим согласие на обработку персональных данных.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Заявки от граждан других госуда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>инимаются в особом порядке с учетом указания заявителем оснований для участия в конкурсе, таких как: реализация профессиональной или общественной деятельности на территории Российской Федерации, сотрудничество с организациями — резидентами Российской Федерации в сфере тематики конкурса, обучение в учебных заведениях Российской Федерации и т.п. Решение о включении в состав участников конкурса принимается экспертным советом на основании изучения представленных данных в индивидуальном порядке. Информация о принятом решении экспертного совета направляется заявителю, при этом в случае отказа экспертный совет оставляет за собой право не давать расширенного комментария к данному решению.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vanish/>
          <w:sz w:val="28"/>
          <w:szCs w:val="32"/>
        </w:rPr>
      </w:pPr>
      <w:r w:rsidRPr="00804586">
        <w:rPr>
          <w:rFonts w:ascii="Times New Roman" w:hAnsi="Times New Roman" w:cs="Times New Roman"/>
          <w:b/>
          <w:sz w:val="28"/>
          <w:szCs w:val="32"/>
        </w:rPr>
        <w:t>График и порядок проведения этапов Конкурса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vanish/>
          <w:sz w:val="28"/>
          <w:szCs w:val="32"/>
        </w:rPr>
      </w:pP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vanish/>
          <w:sz w:val="28"/>
          <w:szCs w:val="32"/>
        </w:rPr>
      </w:pPr>
    </w:p>
    <w:p w:rsidR="002A7793" w:rsidRPr="00804586" w:rsidRDefault="002A7793" w:rsidP="002A7793">
      <w:pPr>
        <w:pStyle w:val="af1"/>
        <w:jc w:val="center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 xml:space="preserve">Конкурс состоит из трех этапов. Старту основных этапов предшествует этап регистрации — до </w:t>
      </w:r>
      <w:r w:rsidRPr="00804586">
        <w:rPr>
          <w:rFonts w:ascii="Times New Roman" w:hAnsi="Times New Roman" w:cs="Times New Roman"/>
          <w:sz w:val="28"/>
          <w:szCs w:val="28"/>
        </w:rPr>
        <w:t xml:space="preserve">23:59 14 апреля 2017 г. — </w:t>
      </w:r>
      <w:r w:rsidRPr="00804586">
        <w:rPr>
          <w:rFonts w:ascii="Times New Roman" w:hAnsi="Times New Roman" w:cs="Times New Roman"/>
          <w:sz w:val="28"/>
          <w:szCs w:val="32"/>
        </w:rPr>
        <w:t>и предварительная подготовка участников по методическим материалам, размещенным на официальном сайте Конкурса в разделе «Инструктаж».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>Первый этап — заочный индивидуальный, проводится с 00:00 15 апреля до 23:59 15 июня 2017 г.: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 xml:space="preserve">Задания </w:t>
      </w:r>
      <w:proofErr w:type="gramStart"/>
      <w:r w:rsidRPr="00804586">
        <w:rPr>
          <w:rFonts w:ascii="Times New Roman" w:hAnsi="Times New Roman" w:cs="Times New Roman"/>
          <w:sz w:val="28"/>
          <w:szCs w:val="32"/>
        </w:rPr>
        <w:t>размещаются в соответствии с объявленными датами этапов Конкурса на официальном сайте Конкурса и принимаются</w:t>
      </w:r>
      <w:proofErr w:type="gramEnd"/>
      <w:r w:rsidRPr="00804586">
        <w:rPr>
          <w:rFonts w:ascii="Times New Roman" w:hAnsi="Times New Roman" w:cs="Times New Roman"/>
          <w:sz w:val="28"/>
          <w:szCs w:val="32"/>
        </w:rPr>
        <w:t xml:space="preserve"> в электронном виде на официальную почту Конкурса.</w:t>
      </w:r>
      <w:r w:rsidRPr="00804586">
        <w:rPr>
          <w:rFonts w:ascii="Times New Roman" w:hAnsi="Times New Roman" w:cs="Times New Roman"/>
          <w:sz w:val="28"/>
          <w:szCs w:val="28"/>
        </w:rPr>
        <w:t xml:space="preserve"> Адрес и правила оформления материалов указываются на официальном сайте Конкурса, а также в форме решения задачи.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32"/>
        </w:rPr>
        <w:t>Д</w:t>
      </w:r>
      <w:r w:rsidRPr="00804586">
        <w:rPr>
          <w:rFonts w:ascii="Times New Roman" w:hAnsi="Times New Roman" w:cs="Times New Roman"/>
          <w:sz w:val="28"/>
          <w:szCs w:val="28"/>
        </w:rPr>
        <w:t>ата и время завершения приема решений задач указываются на официальном сайте Конкурса.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заполняют форму решения задачи в строго установленном данной формой порядке. Неверно заполненные формы решения к рассмотрению приниматься не будут. В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недостаточности предложенной формы для изложения всех аспектов решения участник заполняет всю форму и готовит приложения к ней, указав в тексте в форме ссылки на соответствующие приложения.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Участники, не приславшие заполненную форму решения задач или приславшие свои материалы позже указанного времени, в Конкурсе далее не участвуют.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Проверка и оценка предложенных участниками решений задач осуществляется жюри Конкурса.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Оценка решения задачи проводится по заполненной конкурсантом форме решения задачи. В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необходимости член жюри может рассмотреть дополнительные материалы, присланные конкурсантом. 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Предполагается множество правильных решений с разным качеством. При этом качество решения оценивается на основе проверки соответствия решения конкурсанта установленному эталону «100% качества решения». </w:t>
      </w:r>
    </w:p>
    <w:p w:rsidR="002A7793" w:rsidRPr="00804586" w:rsidRDefault="002A7793" w:rsidP="002A7793">
      <w:pPr>
        <w:pStyle w:val="af1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Рецензии членов жюри участникам конкурса не выдаются. Материалы не возвращаются.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32"/>
        </w:rPr>
        <w:t>Победителями первого этапа станут авторы 50 лучших решений задач. 50 победителей первого этапа допускаются ко второму этапу.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 xml:space="preserve">Второй этап — очный, проводится в Москве в июле 2017 г. в формате стратегической игры и малой церемонии награждения. </w:t>
      </w:r>
      <w:proofErr w:type="gramStart"/>
      <w:r w:rsidRPr="00804586">
        <w:rPr>
          <w:rFonts w:ascii="Times New Roman" w:hAnsi="Times New Roman" w:cs="Times New Roman"/>
          <w:sz w:val="28"/>
          <w:szCs w:val="32"/>
        </w:rPr>
        <w:t xml:space="preserve">Задание к стратегической игре публикуется на сайте Конкурса в 00:00 16 июня 2017 г. Для участия во втором этапе на </w:t>
      </w:r>
      <w:proofErr w:type="spellStart"/>
      <w:r w:rsidRPr="00804586">
        <w:rPr>
          <w:rFonts w:ascii="Times New Roman" w:hAnsi="Times New Roman" w:cs="Times New Roman"/>
          <w:sz w:val="28"/>
          <w:szCs w:val="32"/>
        </w:rPr>
        <w:t>интернет-площадке</w:t>
      </w:r>
      <w:proofErr w:type="spellEnd"/>
      <w:r w:rsidRPr="00804586">
        <w:rPr>
          <w:rFonts w:ascii="Times New Roman" w:hAnsi="Times New Roman" w:cs="Times New Roman"/>
          <w:sz w:val="28"/>
          <w:szCs w:val="32"/>
        </w:rPr>
        <w:t xml:space="preserve">, созданной организаторами Конкурса, участники формируют команды, исходя из личностных предпочтений в отношении методических подходов, профессионализма участников, а также тематики разрабатываемых участниками проектов в рамках выполнения задания к стратегической игре. </w:t>
      </w:r>
      <w:proofErr w:type="gramEnd"/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>Победителями второго этапа станут сформированные победителями первого этапа команды, предложившие решения, которые по сумме баллов войдут в число ¾ лучших решений, превзошедших средний балл по итогам оценивания решений второго этапа. Участники сильнейших команд будут приглашены на торжественную презентацию индивидуального и командного проектов в рамках третьего этапа Конкурса.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 xml:space="preserve">Третий этап (финал) — очный, проводится в Москве сентябре 2017 г. в формате торжественной презентации проектов и большой церемонии награждения. 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32"/>
        </w:rPr>
        <w:t xml:space="preserve">Каждый этап оценивается отдельно в баллах. Для определения победителей этапов составляются рейтинги участников, которые публикуются по итогам </w:t>
      </w:r>
      <w:r w:rsidRPr="00804586">
        <w:rPr>
          <w:rFonts w:ascii="Times New Roman" w:hAnsi="Times New Roman" w:cs="Times New Roman"/>
          <w:sz w:val="28"/>
          <w:szCs w:val="32"/>
        </w:rPr>
        <w:lastRenderedPageBreak/>
        <w:t xml:space="preserve">каждого этапа. В </w:t>
      </w:r>
      <w:proofErr w:type="gramStart"/>
      <w:r w:rsidRPr="00804586">
        <w:rPr>
          <w:rFonts w:ascii="Times New Roman" w:hAnsi="Times New Roman" w:cs="Times New Roman"/>
          <w:sz w:val="28"/>
          <w:szCs w:val="32"/>
        </w:rPr>
        <w:t>рейтинге</w:t>
      </w:r>
      <w:proofErr w:type="gramEnd"/>
      <w:r w:rsidRPr="00804586">
        <w:rPr>
          <w:rFonts w:ascii="Times New Roman" w:hAnsi="Times New Roman" w:cs="Times New Roman"/>
          <w:sz w:val="28"/>
          <w:szCs w:val="32"/>
        </w:rPr>
        <w:t xml:space="preserve"> указывается: ФИО участника, представляемая им организация, регион.</w:t>
      </w:r>
    </w:p>
    <w:p w:rsidR="002A7793" w:rsidRPr="00804586" w:rsidRDefault="002A7793" w:rsidP="002A7793">
      <w:pPr>
        <w:pStyle w:val="af1"/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Победителями третьего этапа</w:t>
      </w:r>
      <w:r w:rsidR="00DA48E6">
        <w:rPr>
          <w:rFonts w:ascii="Times New Roman" w:hAnsi="Times New Roman" w:cs="Times New Roman"/>
          <w:sz w:val="28"/>
          <w:szCs w:val="28"/>
        </w:rPr>
        <w:t xml:space="preserve"> в основных номинациях Конкурса</w:t>
      </w:r>
      <w:r w:rsidRPr="00804586">
        <w:rPr>
          <w:rFonts w:ascii="Times New Roman" w:hAnsi="Times New Roman" w:cs="Times New Roman"/>
          <w:sz w:val="28"/>
          <w:szCs w:val="28"/>
        </w:rPr>
        <w:t xml:space="preserve"> станут три команды и три индивидуальных участника, прошедшие процедуру защиты командных и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с максимальным соответствием эталону «100% качества».</w:t>
      </w:r>
    </w:p>
    <w:p w:rsidR="002A7793" w:rsidRPr="00804586" w:rsidRDefault="002A7793" w:rsidP="002A77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По результатам всех этапов Конкурса определяются победители Конкурса. </w:t>
      </w:r>
    </w:p>
    <w:p w:rsidR="002A7793" w:rsidRPr="00804586" w:rsidRDefault="002A7793" w:rsidP="002A7793">
      <w:pPr>
        <w:pStyle w:val="af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Основные номинации Конкурса:</w:t>
      </w:r>
    </w:p>
    <w:p w:rsidR="002A7793" w:rsidRPr="00804586" w:rsidRDefault="002A7793" w:rsidP="002A7793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«Лучший аналитик».</w:t>
      </w:r>
    </w:p>
    <w:p w:rsidR="002A7793" w:rsidRPr="00804586" w:rsidRDefault="002A7793" w:rsidP="002A7793">
      <w:pPr>
        <w:pStyle w:val="af1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«Лучшая аналитическая группа». </w:t>
      </w:r>
    </w:p>
    <w:p w:rsidR="002A7793" w:rsidRPr="00804586" w:rsidRDefault="002A7793" w:rsidP="002A7793">
      <w:pPr>
        <w:pStyle w:val="af1"/>
        <w:ind w:left="1701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Дополнительная номинация для аналитических проектов, содержащих компонент инновационной разработки и потенциал для развития регионов и стран ЕАЭС (Республика Армения, Республика Беларусь, Республика Казахстан, </w:t>
      </w:r>
      <w:proofErr w:type="spellStart"/>
      <w:r w:rsidRPr="00804586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804586">
        <w:rPr>
          <w:rFonts w:ascii="Times New Roman" w:hAnsi="Times New Roman" w:cs="Times New Roman"/>
          <w:sz w:val="28"/>
          <w:szCs w:val="28"/>
        </w:rPr>
        <w:t xml:space="preserve"> Республика, Российская Федерация) «Инновационная Евразия», включая разделы:</w:t>
      </w:r>
    </w:p>
    <w:p w:rsidR="002A7793" w:rsidRPr="00804586" w:rsidRDefault="002A7793" w:rsidP="002A7793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«Лучший отраслевой инновационный проект».</w:t>
      </w:r>
    </w:p>
    <w:p w:rsidR="002A7793" w:rsidRPr="00804586" w:rsidRDefault="002A7793" w:rsidP="002A7793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«Лучший инновационный проект регионального уровня».</w:t>
      </w:r>
    </w:p>
    <w:p w:rsidR="002A7793" w:rsidRPr="00804586" w:rsidRDefault="002A7793" w:rsidP="002A7793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«Лучший инновационный проект государственного уровня».</w:t>
      </w:r>
    </w:p>
    <w:p w:rsidR="002A7793" w:rsidRPr="00804586" w:rsidRDefault="002A7793" w:rsidP="002A7793">
      <w:pPr>
        <w:pStyle w:val="af1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«Лучший инновационный проект межгосударственного уровня».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32"/>
        </w:rPr>
      </w:pPr>
      <w:r w:rsidRPr="00804586">
        <w:rPr>
          <w:rFonts w:ascii="Times New Roman" w:hAnsi="Times New Roman" w:cs="Times New Roman"/>
          <w:sz w:val="28"/>
          <w:szCs w:val="28"/>
        </w:rPr>
        <w:t>Определение победителей Конкурса по основным номинациям производится в день проведения третьего этапа Конкурса. Победители в дополнительных номинациях определяются по итогам второго этапа в день его проведения. Допускается награждение сильнейших участников наградами в нескольких номинациях.</w:t>
      </w:r>
    </w:p>
    <w:p w:rsidR="002A7793" w:rsidRPr="00804586" w:rsidRDefault="002A7793" w:rsidP="002A77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5"/>
        <w:numPr>
          <w:ilvl w:val="0"/>
          <w:numId w:val="14"/>
        </w:numPr>
        <w:spacing w:after="24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Основные принципы проведения Конкурса</w:t>
      </w:r>
    </w:p>
    <w:p w:rsidR="002A7793" w:rsidRPr="00804586" w:rsidRDefault="002A7793" w:rsidP="002A7793">
      <w:pPr>
        <w:pStyle w:val="a5"/>
        <w:numPr>
          <w:ilvl w:val="1"/>
          <w:numId w:val="14"/>
        </w:numPr>
        <w:spacing w:after="24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Основной принцип формирования конкурсных заданий: решение задания зависит от самостоятельного выбора конкурсантом ключевых факторов, а качество решения — от глубины анализа влияния факторов друг на друга в разрезе решения задачи.</w:t>
      </w:r>
    </w:p>
    <w:p w:rsidR="002A7793" w:rsidRPr="00804586" w:rsidRDefault="002A7793" w:rsidP="002A7793">
      <w:pPr>
        <w:pStyle w:val="a5"/>
        <w:numPr>
          <w:ilvl w:val="1"/>
          <w:numId w:val="14"/>
        </w:numPr>
        <w:spacing w:after="24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Тематика конкурсных заданий не требует владения узкоспециальными знаниями и методами. Задания формируются таким образом, чтобы глубину анализа, необходимую для решения задачи, определял сам конкурсант.</w:t>
      </w: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 xml:space="preserve">Проектной группой Конкурса признается, что оценка членами жюри решения, представленного конкурсантом, будет до некоторой степени субъективна. В этой связи принимаются меры по сокращению субъективности 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и по выравниванию неоднородности уровня субъективности между проверяющими. К таким мерам относятся: </w:t>
      </w:r>
    </w:p>
    <w:p w:rsidR="002A7793" w:rsidRPr="00804586" w:rsidRDefault="002A7793" w:rsidP="002A7793">
      <w:pPr>
        <w:pStyle w:val="af1"/>
        <w:numPr>
          <w:ilvl w:val="0"/>
          <w:numId w:val="38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lastRenderedPageBreak/>
        <w:t>формирование и утверждение дифференцированных параметров оценки решения;</w:t>
      </w:r>
    </w:p>
    <w:p w:rsidR="002A7793" w:rsidRPr="00804586" w:rsidRDefault="002A7793" w:rsidP="002A7793">
      <w:pPr>
        <w:pStyle w:val="af1"/>
        <w:numPr>
          <w:ilvl w:val="0"/>
          <w:numId w:val="38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процедура предварительной независимой оценки десяти случайно выбранных решений конкурсантов всеми членами жюри, участвующими в проверке работ, с последующим обсуждением оснований для выставленной оценки каждым проверяющим и корректировкой оценок, вышедших за пределы интервала от средней оценки.</w:t>
      </w:r>
    </w:p>
    <w:p w:rsidR="002A7793" w:rsidRPr="00804586" w:rsidRDefault="002A7793" w:rsidP="002A7793">
      <w:pPr>
        <w:pStyle w:val="af1"/>
        <w:numPr>
          <w:ilvl w:val="0"/>
          <w:numId w:val="38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процедура обсуждения и корректировки оценок претендентов на прохождение в следующий этап Конкурса принимается кворумом членов жюри.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A7793" w:rsidRPr="00804586" w:rsidRDefault="002A7793" w:rsidP="002A7793">
      <w:pPr>
        <w:pStyle w:val="af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 победителями Конкурса и руководителями представляемых ими организаций проводится интервью — как для архива Конкурса, так и для заинтересованных средств массовой информации.</w:t>
      </w:r>
    </w:p>
    <w:p w:rsidR="002A7793" w:rsidRPr="00804586" w:rsidRDefault="002A7793" w:rsidP="002A7793">
      <w:pPr>
        <w:pStyle w:val="af1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По итогам Конкурса в сети Интернет публикуется фот</w:t>
      </w:r>
      <w:proofErr w:type="gramStart"/>
      <w:r w:rsidRPr="008045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4586">
        <w:rPr>
          <w:rFonts w:ascii="Times New Roman" w:hAnsi="Times New Roman" w:cs="Times New Roman"/>
          <w:sz w:val="28"/>
          <w:szCs w:val="28"/>
        </w:rPr>
        <w:t xml:space="preserve"> и видеоотчет. </w:t>
      </w:r>
    </w:p>
    <w:p w:rsidR="002A7793" w:rsidRPr="00804586" w:rsidRDefault="002A7793" w:rsidP="002A7793">
      <w:pPr>
        <w:pStyle w:val="a5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1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После проведения Конкурса лучшие работы будут размещены на сайте с целью ознакомления и распространения среди профессионального сообщества и широкой общественности.</w:t>
      </w:r>
    </w:p>
    <w:p w:rsidR="002A7793" w:rsidRPr="00804586" w:rsidRDefault="002A7793" w:rsidP="002A77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793" w:rsidRPr="00804586" w:rsidRDefault="002A7793" w:rsidP="002A7793">
      <w:pPr>
        <w:pStyle w:val="af1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586">
        <w:rPr>
          <w:rFonts w:ascii="Times New Roman" w:hAnsi="Times New Roman" w:cs="Times New Roman"/>
          <w:b/>
          <w:sz w:val="28"/>
          <w:szCs w:val="28"/>
        </w:rPr>
        <w:t>Призовая программа</w:t>
      </w:r>
    </w:p>
    <w:p w:rsidR="002A7793" w:rsidRPr="00804586" w:rsidRDefault="002A7793" w:rsidP="002A7793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A7793" w:rsidRPr="00804586" w:rsidRDefault="002A7793" w:rsidP="002A7793">
      <w:pPr>
        <w:pStyle w:val="af8"/>
        <w:numPr>
          <w:ilvl w:val="1"/>
          <w:numId w:val="14"/>
        </w:numPr>
        <w:ind w:left="709" w:hanging="709"/>
        <w:jc w:val="both"/>
        <w:rPr>
          <w:sz w:val="28"/>
          <w:szCs w:val="28"/>
        </w:rPr>
      </w:pPr>
      <w:r w:rsidRPr="00804586">
        <w:rPr>
          <w:sz w:val="28"/>
          <w:szCs w:val="28"/>
        </w:rPr>
        <w:t>Победителям Конкурса и отдельных этапов будут предложены варианты призовой программы:</w:t>
      </w:r>
    </w:p>
    <w:p w:rsidR="002A7793" w:rsidRPr="00804586" w:rsidRDefault="002A7793" w:rsidP="002A7793">
      <w:pPr>
        <w:numPr>
          <w:ilvl w:val="0"/>
          <w:numId w:val="40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прохождение стажировок на предприятиях и в учреждениях, являющихся организаторами и партнерами Конкурса;</w:t>
      </w:r>
    </w:p>
    <w:p w:rsidR="002A7793" w:rsidRPr="00804586" w:rsidRDefault="002A7793" w:rsidP="002A7793">
      <w:pPr>
        <w:numPr>
          <w:ilvl w:val="0"/>
          <w:numId w:val="40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прохождение обучения на базе ведущих экспертно-научных и образовательных центров страны;</w:t>
      </w:r>
    </w:p>
    <w:p w:rsidR="002A7793" w:rsidRPr="00804586" w:rsidRDefault="002A7793" w:rsidP="002A7793">
      <w:pPr>
        <w:numPr>
          <w:ilvl w:val="0"/>
          <w:numId w:val="40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включение в экспертную сеть Ассоциации «Аналитика» с последующим привлечением к развитию аналитического инструментария для решения задач корпоративного и государственного управления;</w:t>
      </w:r>
    </w:p>
    <w:p w:rsidR="00901918" w:rsidRPr="00804586" w:rsidRDefault="002A7793" w:rsidP="002A7793">
      <w:pPr>
        <w:numPr>
          <w:ilvl w:val="0"/>
          <w:numId w:val="40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425"/>
        <w:jc w:val="both"/>
        <w:rPr>
          <w:rFonts w:ascii="Times New Roman" w:hAnsi="Times New Roman" w:cs="Times New Roman"/>
          <w:szCs w:val="28"/>
        </w:rPr>
      </w:pPr>
      <w:r w:rsidRPr="00804586">
        <w:rPr>
          <w:rFonts w:ascii="Times New Roman" w:hAnsi="Times New Roman" w:cs="Times New Roman"/>
          <w:sz w:val="28"/>
          <w:szCs w:val="28"/>
        </w:rPr>
        <w:t>специальные призы от партнеров Конкурса.</w:t>
      </w:r>
      <w:r w:rsidRPr="00804586">
        <w:rPr>
          <w:rFonts w:ascii="Times New Roman" w:hAnsi="Times New Roman" w:cs="Times New Roman"/>
          <w:szCs w:val="28"/>
        </w:rPr>
        <w:t xml:space="preserve"> </w:t>
      </w:r>
    </w:p>
    <w:sectPr w:rsidR="00901918" w:rsidRPr="00804586" w:rsidSect="00C22116">
      <w:footerReference w:type="even" r:id="rId12"/>
      <w:footerReference w:type="default" r:id="rId13"/>
      <w:pgSz w:w="11900" w:h="16840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EA" w:rsidRDefault="003A10EA">
      <w:r>
        <w:separator/>
      </w:r>
    </w:p>
  </w:endnote>
  <w:endnote w:type="continuationSeparator" w:id="0">
    <w:p w:rsidR="003A10EA" w:rsidRDefault="003A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Default="00B37F0A" w:rsidP="005F2F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2F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775">
      <w:rPr>
        <w:rStyle w:val="a8"/>
        <w:noProof/>
      </w:rPr>
      <w:t>6</w:t>
    </w:r>
    <w:r>
      <w:rPr>
        <w:rStyle w:val="a8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66" w:rsidRPr="008247D4" w:rsidRDefault="00B37F0A" w:rsidP="005F2F66">
    <w:pPr>
      <w:pStyle w:val="a6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8247D4">
      <w:rPr>
        <w:rStyle w:val="a8"/>
        <w:rFonts w:ascii="Times New Roman" w:hAnsi="Times New Roman" w:cs="Times New Roman"/>
      </w:rPr>
      <w:fldChar w:fldCharType="begin"/>
    </w:r>
    <w:r w:rsidR="005F2F66" w:rsidRPr="008247D4">
      <w:rPr>
        <w:rStyle w:val="a8"/>
        <w:rFonts w:ascii="Times New Roman" w:hAnsi="Times New Roman" w:cs="Times New Roman"/>
      </w:rPr>
      <w:instrText xml:space="preserve">PAGE  </w:instrText>
    </w:r>
    <w:r w:rsidRPr="008247D4">
      <w:rPr>
        <w:rStyle w:val="a8"/>
        <w:rFonts w:ascii="Times New Roman" w:hAnsi="Times New Roman" w:cs="Times New Roman"/>
      </w:rPr>
      <w:fldChar w:fldCharType="separate"/>
    </w:r>
    <w:r w:rsidR="00DA48E6">
      <w:rPr>
        <w:rStyle w:val="a8"/>
        <w:rFonts w:ascii="Times New Roman" w:hAnsi="Times New Roman" w:cs="Times New Roman"/>
        <w:noProof/>
      </w:rPr>
      <w:t>6</w:t>
    </w:r>
    <w:r w:rsidRPr="008247D4">
      <w:rPr>
        <w:rStyle w:val="a8"/>
        <w:rFonts w:ascii="Times New Roman" w:hAnsi="Times New Roman" w:cs="Times New Roman"/>
      </w:rPr>
      <w:fldChar w:fldCharType="end"/>
    </w:r>
  </w:p>
  <w:p w:rsidR="005F2F66" w:rsidRDefault="005F2F66" w:rsidP="005F2F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EA" w:rsidRDefault="003A10EA">
      <w:r>
        <w:separator/>
      </w:r>
    </w:p>
  </w:footnote>
  <w:footnote w:type="continuationSeparator" w:id="0">
    <w:p w:rsidR="003A10EA" w:rsidRDefault="003A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EC"/>
    <w:multiLevelType w:val="hybridMultilevel"/>
    <w:tmpl w:val="C74AF1DE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2644"/>
    <w:multiLevelType w:val="hybridMultilevel"/>
    <w:tmpl w:val="55806088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B8F16E2"/>
    <w:multiLevelType w:val="hybridMultilevel"/>
    <w:tmpl w:val="33187DF4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67747"/>
    <w:multiLevelType w:val="hybridMultilevel"/>
    <w:tmpl w:val="1598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516F"/>
    <w:multiLevelType w:val="hybridMultilevel"/>
    <w:tmpl w:val="CD42075C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66EC4"/>
    <w:multiLevelType w:val="hybridMultilevel"/>
    <w:tmpl w:val="3968C6DC"/>
    <w:lvl w:ilvl="0" w:tplc="5A64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0A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08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9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6B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C8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C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C1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C0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84B62"/>
    <w:multiLevelType w:val="hybridMultilevel"/>
    <w:tmpl w:val="7B36395E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75D0"/>
    <w:multiLevelType w:val="multilevel"/>
    <w:tmpl w:val="8D603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BEC"/>
    <w:multiLevelType w:val="hybridMultilevel"/>
    <w:tmpl w:val="DA30E90A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A46F0"/>
    <w:multiLevelType w:val="multilevel"/>
    <w:tmpl w:val="579A1112"/>
    <w:lvl w:ilvl="0">
      <w:start w:val="4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340" w:firstLine="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0">
    <w:nsid w:val="283126C6"/>
    <w:multiLevelType w:val="multilevel"/>
    <w:tmpl w:val="066EE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AB6852"/>
    <w:multiLevelType w:val="hybridMultilevel"/>
    <w:tmpl w:val="991E9726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0F9D"/>
    <w:multiLevelType w:val="hybridMultilevel"/>
    <w:tmpl w:val="632026FC"/>
    <w:lvl w:ilvl="0" w:tplc="06462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25A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694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697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65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A5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4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235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8D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2299C"/>
    <w:multiLevelType w:val="hybridMultilevel"/>
    <w:tmpl w:val="1520BB84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36B5"/>
    <w:multiLevelType w:val="multilevel"/>
    <w:tmpl w:val="DB82CAFE"/>
    <w:lvl w:ilvl="0">
      <w:start w:val="4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340" w:firstLine="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5">
    <w:nsid w:val="360937CC"/>
    <w:multiLevelType w:val="multilevel"/>
    <w:tmpl w:val="9844D238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100CB3"/>
    <w:multiLevelType w:val="hybridMultilevel"/>
    <w:tmpl w:val="C85027BA"/>
    <w:lvl w:ilvl="0" w:tplc="EFFE7A8C">
      <w:start w:val="1"/>
      <w:numFmt w:val="bullet"/>
      <w:lvlText w:val="−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08EE"/>
    <w:multiLevelType w:val="multilevel"/>
    <w:tmpl w:val="A67EA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eastAsiaTheme="minorEastAsia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813A46"/>
    <w:multiLevelType w:val="multilevel"/>
    <w:tmpl w:val="42B44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E6D0D47"/>
    <w:multiLevelType w:val="multilevel"/>
    <w:tmpl w:val="1546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88347C"/>
    <w:multiLevelType w:val="hybridMultilevel"/>
    <w:tmpl w:val="9330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C1B57"/>
    <w:multiLevelType w:val="multilevel"/>
    <w:tmpl w:val="1546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573D34"/>
    <w:multiLevelType w:val="hybridMultilevel"/>
    <w:tmpl w:val="9770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51992"/>
    <w:multiLevelType w:val="multilevel"/>
    <w:tmpl w:val="7FB6C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B101CC"/>
    <w:multiLevelType w:val="hybridMultilevel"/>
    <w:tmpl w:val="19E6FAA8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A15F3"/>
    <w:multiLevelType w:val="multilevel"/>
    <w:tmpl w:val="4F70C9DC"/>
    <w:lvl w:ilvl="0">
      <w:start w:val="4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6">
    <w:nsid w:val="534A73EC"/>
    <w:multiLevelType w:val="multilevel"/>
    <w:tmpl w:val="651A35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563C63"/>
    <w:multiLevelType w:val="multilevel"/>
    <w:tmpl w:val="066EE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7D01543"/>
    <w:multiLevelType w:val="hybridMultilevel"/>
    <w:tmpl w:val="C5D41006"/>
    <w:lvl w:ilvl="0" w:tplc="BA3C15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C5BA7"/>
    <w:multiLevelType w:val="multilevel"/>
    <w:tmpl w:val="066EE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B56F0D"/>
    <w:multiLevelType w:val="multilevel"/>
    <w:tmpl w:val="066EE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C3D6C48"/>
    <w:multiLevelType w:val="multilevel"/>
    <w:tmpl w:val="A1FCC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06F4A35"/>
    <w:multiLevelType w:val="hybridMultilevel"/>
    <w:tmpl w:val="528EA49C"/>
    <w:lvl w:ilvl="0" w:tplc="EFFE7A8C">
      <w:start w:val="1"/>
      <w:numFmt w:val="bullet"/>
      <w:lvlText w:val="−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16A7DBF"/>
    <w:multiLevelType w:val="hybridMultilevel"/>
    <w:tmpl w:val="B10E17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21BBC"/>
    <w:multiLevelType w:val="multilevel"/>
    <w:tmpl w:val="46C8D1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3377406"/>
    <w:multiLevelType w:val="hybridMultilevel"/>
    <w:tmpl w:val="93B61E3A"/>
    <w:lvl w:ilvl="0" w:tplc="3A380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B6A22"/>
    <w:multiLevelType w:val="hybridMultilevel"/>
    <w:tmpl w:val="C330A80E"/>
    <w:lvl w:ilvl="0" w:tplc="3A3807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503FBF"/>
    <w:multiLevelType w:val="multilevel"/>
    <w:tmpl w:val="9BD0F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837D1B"/>
    <w:multiLevelType w:val="multilevel"/>
    <w:tmpl w:val="9850BB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0814D6"/>
    <w:multiLevelType w:val="multilevel"/>
    <w:tmpl w:val="2C0C2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B110A97"/>
    <w:multiLevelType w:val="multilevel"/>
    <w:tmpl w:val="DB82CAFE"/>
    <w:lvl w:ilvl="0">
      <w:start w:val="4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340" w:firstLine="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41">
    <w:nsid w:val="7D7B1B1B"/>
    <w:multiLevelType w:val="hybridMultilevel"/>
    <w:tmpl w:val="FE5A47FE"/>
    <w:lvl w:ilvl="0" w:tplc="3A3807EA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ECB00FD"/>
    <w:multiLevelType w:val="multilevel"/>
    <w:tmpl w:val="384288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25"/>
  </w:num>
  <w:num w:numId="8">
    <w:abstractNumId w:val="18"/>
  </w:num>
  <w:num w:numId="9">
    <w:abstractNumId w:val="39"/>
  </w:num>
  <w:num w:numId="10">
    <w:abstractNumId w:val="30"/>
  </w:num>
  <w:num w:numId="11">
    <w:abstractNumId w:val="27"/>
  </w:num>
  <w:num w:numId="12">
    <w:abstractNumId w:val="15"/>
  </w:num>
  <w:num w:numId="13">
    <w:abstractNumId w:val="10"/>
  </w:num>
  <w:num w:numId="14">
    <w:abstractNumId w:val="23"/>
  </w:num>
  <w:num w:numId="15">
    <w:abstractNumId w:val="37"/>
  </w:num>
  <w:num w:numId="16">
    <w:abstractNumId w:val="31"/>
  </w:num>
  <w:num w:numId="17">
    <w:abstractNumId w:val="21"/>
  </w:num>
  <w:num w:numId="18">
    <w:abstractNumId w:val="26"/>
  </w:num>
  <w:num w:numId="19">
    <w:abstractNumId w:val="19"/>
  </w:num>
  <w:num w:numId="20">
    <w:abstractNumId w:val="17"/>
  </w:num>
  <w:num w:numId="21">
    <w:abstractNumId w:val="9"/>
  </w:num>
  <w:num w:numId="22">
    <w:abstractNumId w:val="40"/>
  </w:num>
  <w:num w:numId="23">
    <w:abstractNumId w:val="14"/>
  </w:num>
  <w:num w:numId="24">
    <w:abstractNumId w:val="32"/>
  </w:num>
  <w:num w:numId="25">
    <w:abstractNumId w:val="0"/>
  </w:num>
  <w:num w:numId="26">
    <w:abstractNumId w:val="13"/>
  </w:num>
  <w:num w:numId="27">
    <w:abstractNumId w:val="3"/>
  </w:num>
  <w:num w:numId="28">
    <w:abstractNumId w:val="24"/>
  </w:num>
  <w:num w:numId="29">
    <w:abstractNumId w:val="8"/>
  </w:num>
  <w:num w:numId="30">
    <w:abstractNumId w:val="11"/>
  </w:num>
  <w:num w:numId="31">
    <w:abstractNumId w:val="38"/>
  </w:num>
  <w:num w:numId="32">
    <w:abstractNumId w:val="6"/>
  </w:num>
  <w:num w:numId="33">
    <w:abstractNumId w:val="4"/>
  </w:num>
  <w:num w:numId="34">
    <w:abstractNumId w:val="2"/>
  </w:num>
  <w:num w:numId="35">
    <w:abstractNumId w:val="5"/>
  </w:num>
  <w:num w:numId="36">
    <w:abstractNumId w:val="12"/>
  </w:num>
  <w:num w:numId="37">
    <w:abstractNumId w:val="42"/>
  </w:num>
  <w:num w:numId="38">
    <w:abstractNumId w:val="35"/>
  </w:num>
  <w:num w:numId="39">
    <w:abstractNumId w:val="20"/>
  </w:num>
  <w:num w:numId="40">
    <w:abstractNumId w:val="7"/>
  </w:num>
  <w:num w:numId="41">
    <w:abstractNumId w:val="36"/>
  </w:num>
  <w:num w:numId="42">
    <w:abstractNumId w:val="1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7D"/>
    <w:rsid w:val="00014923"/>
    <w:rsid w:val="00014A15"/>
    <w:rsid w:val="00015AF4"/>
    <w:rsid w:val="00016836"/>
    <w:rsid w:val="00017A4C"/>
    <w:rsid w:val="00030CFC"/>
    <w:rsid w:val="0003508E"/>
    <w:rsid w:val="00040603"/>
    <w:rsid w:val="00052811"/>
    <w:rsid w:val="00055706"/>
    <w:rsid w:val="00055CDF"/>
    <w:rsid w:val="00065DB1"/>
    <w:rsid w:val="00076FFB"/>
    <w:rsid w:val="00080D39"/>
    <w:rsid w:val="000969C0"/>
    <w:rsid w:val="000A307D"/>
    <w:rsid w:val="000A50B8"/>
    <w:rsid w:val="000B6A4C"/>
    <w:rsid w:val="000C275D"/>
    <w:rsid w:val="000D1DB4"/>
    <w:rsid w:val="00103EF5"/>
    <w:rsid w:val="00111353"/>
    <w:rsid w:val="00123555"/>
    <w:rsid w:val="00124D15"/>
    <w:rsid w:val="00136D0F"/>
    <w:rsid w:val="00143F83"/>
    <w:rsid w:val="00162BBC"/>
    <w:rsid w:val="001742CF"/>
    <w:rsid w:val="00175085"/>
    <w:rsid w:val="001771D0"/>
    <w:rsid w:val="001A3D69"/>
    <w:rsid w:val="001B11A8"/>
    <w:rsid w:val="001C1C8D"/>
    <w:rsid w:val="001C4292"/>
    <w:rsid w:val="001E00D4"/>
    <w:rsid w:val="001E7365"/>
    <w:rsid w:val="001F266E"/>
    <w:rsid w:val="001F3785"/>
    <w:rsid w:val="001F47E5"/>
    <w:rsid w:val="001F6E5A"/>
    <w:rsid w:val="00202B50"/>
    <w:rsid w:val="00224F92"/>
    <w:rsid w:val="0023066A"/>
    <w:rsid w:val="002620F0"/>
    <w:rsid w:val="002655A8"/>
    <w:rsid w:val="00272619"/>
    <w:rsid w:val="002726E7"/>
    <w:rsid w:val="00277888"/>
    <w:rsid w:val="00280362"/>
    <w:rsid w:val="00293E92"/>
    <w:rsid w:val="00295E2C"/>
    <w:rsid w:val="002A30D7"/>
    <w:rsid w:val="002A7793"/>
    <w:rsid w:val="002B0596"/>
    <w:rsid w:val="002B3AA2"/>
    <w:rsid w:val="002B3ED9"/>
    <w:rsid w:val="002C16B7"/>
    <w:rsid w:val="002C2030"/>
    <w:rsid w:val="002C3A9B"/>
    <w:rsid w:val="002D16F7"/>
    <w:rsid w:val="002E1A27"/>
    <w:rsid w:val="002F14C1"/>
    <w:rsid w:val="002F17A7"/>
    <w:rsid w:val="00300191"/>
    <w:rsid w:val="00300DC9"/>
    <w:rsid w:val="00303BE9"/>
    <w:rsid w:val="00306B2F"/>
    <w:rsid w:val="00316C6F"/>
    <w:rsid w:val="00320285"/>
    <w:rsid w:val="00324191"/>
    <w:rsid w:val="00332FAF"/>
    <w:rsid w:val="00333124"/>
    <w:rsid w:val="00337BF7"/>
    <w:rsid w:val="00343B7D"/>
    <w:rsid w:val="003500EF"/>
    <w:rsid w:val="003712A6"/>
    <w:rsid w:val="00390DCC"/>
    <w:rsid w:val="00393E77"/>
    <w:rsid w:val="0039446B"/>
    <w:rsid w:val="00396907"/>
    <w:rsid w:val="003A10EA"/>
    <w:rsid w:val="003B511C"/>
    <w:rsid w:val="003B71FD"/>
    <w:rsid w:val="003C798F"/>
    <w:rsid w:val="003D2507"/>
    <w:rsid w:val="003E6770"/>
    <w:rsid w:val="003E6A8C"/>
    <w:rsid w:val="003E7EFD"/>
    <w:rsid w:val="003F4975"/>
    <w:rsid w:val="003F5129"/>
    <w:rsid w:val="004068FD"/>
    <w:rsid w:val="00411591"/>
    <w:rsid w:val="00425F89"/>
    <w:rsid w:val="0043001B"/>
    <w:rsid w:val="004420D4"/>
    <w:rsid w:val="00466964"/>
    <w:rsid w:val="0048560E"/>
    <w:rsid w:val="0049088A"/>
    <w:rsid w:val="00492E08"/>
    <w:rsid w:val="004D7E89"/>
    <w:rsid w:val="004E08FE"/>
    <w:rsid w:val="004F0045"/>
    <w:rsid w:val="004F4E7B"/>
    <w:rsid w:val="0050093A"/>
    <w:rsid w:val="0050425C"/>
    <w:rsid w:val="005123D4"/>
    <w:rsid w:val="00515CED"/>
    <w:rsid w:val="0051607F"/>
    <w:rsid w:val="005267B4"/>
    <w:rsid w:val="00526BD3"/>
    <w:rsid w:val="00530BE4"/>
    <w:rsid w:val="005316FF"/>
    <w:rsid w:val="0053222A"/>
    <w:rsid w:val="0053467A"/>
    <w:rsid w:val="005473B3"/>
    <w:rsid w:val="005500EB"/>
    <w:rsid w:val="00552221"/>
    <w:rsid w:val="0055789C"/>
    <w:rsid w:val="0056065B"/>
    <w:rsid w:val="005722E3"/>
    <w:rsid w:val="005757BA"/>
    <w:rsid w:val="00577EDA"/>
    <w:rsid w:val="00586B7D"/>
    <w:rsid w:val="005A166C"/>
    <w:rsid w:val="005A3941"/>
    <w:rsid w:val="005A4E41"/>
    <w:rsid w:val="005B093F"/>
    <w:rsid w:val="005B2A9E"/>
    <w:rsid w:val="005B4B00"/>
    <w:rsid w:val="005B54F8"/>
    <w:rsid w:val="005D509C"/>
    <w:rsid w:val="005D77E6"/>
    <w:rsid w:val="005E45AC"/>
    <w:rsid w:val="005F2F66"/>
    <w:rsid w:val="00600DF2"/>
    <w:rsid w:val="00607591"/>
    <w:rsid w:val="00617EFD"/>
    <w:rsid w:val="0062711A"/>
    <w:rsid w:val="00627428"/>
    <w:rsid w:val="00631D80"/>
    <w:rsid w:val="00636D64"/>
    <w:rsid w:val="00636F8A"/>
    <w:rsid w:val="00637EA5"/>
    <w:rsid w:val="006511F8"/>
    <w:rsid w:val="006536AF"/>
    <w:rsid w:val="0065723F"/>
    <w:rsid w:val="00661A64"/>
    <w:rsid w:val="00671643"/>
    <w:rsid w:val="0067375E"/>
    <w:rsid w:val="006774F2"/>
    <w:rsid w:val="00685CF9"/>
    <w:rsid w:val="006C26AD"/>
    <w:rsid w:val="006C53F3"/>
    <w:rsid w:val="006D58AA"/>
    <w:rsid w:val="006D709D"/>
    <w:rsid w:val="006F256D"/>
    <w:rsid w:val="007223AE"/>
    <w:rsid w:val="0072365F"/>
    <w:rsid w:val="0072418A"/>
    <w:rsid w:val="0072667F"/>
    <w:rsid w:val="00732645"/>
    <w:rsid w:val="00733D53"/>
    <w:rsid w:val="00736F85"/>
    <w:rsid w:val="00745BBE"/>
    <w:rsid w:val="00746A3E"/>
    <w:rsid w:val="007575DE"/>
    <w:rsid w:val="0076064C"/>
    <w:rsid w:val="00775F2F"/>
    <w:rsid w:val="0077660A"/>
    <w:rsid w:val="007977A4"/>
    <w:rsid w:val="007A004F"/>
    <w:rsid w:val="007A0CD1"/>
    <w:rsid w:val="007A6A35"/>
    <w:rsid w:val="007E2AE1"/>
    <w:rsid w:val="0080166A"/>
    <w:rsid w:val="00804586"/>
    <w:rsid w:val="008247D4"/>
    <w:rsid w:val="0084284F"/>
    <w:rsid w:val="00846189"/>
    <w:rsid w:val="008470E6"/>
    <w:rsid w:val="00865E85"/>
    <w:rsid w:val="00867381"/>
    <w:rsid w:val="00874164"/>
    <w:rsid w:val="00876507"/>
    <w:rsid w:val="0088040D"/>
    <w:rsid w:val="008814BE"/>
    <w:rsid w:val="00891202"/>
    <w:rsid w:val="0089402F"/>
    <w:rsid w:val="008A30FA"/>
    <w:rsid w:val="008D1DF5"/>
    <w:rsid w:val="008D6F47"/>
    <w:rsid w:val="008E47EE"/>
    <w:rsid w:val="008F12C9"/>
    <w:rsid w:val="008F1F2E"/>
    <w:rsid w:val="008F38BC"/>
    <w:rsid w:val="00901918"/>
    <w:rsid w:val="009059AE"/>
    <w:rsid w:val="0092254B"/>
    <w:rsid w:val="0092431C"/>
    <w:rsid w:val="00943BB9"/>
    <w:rsid w:val="00954149"/>
    <w:rsid w:val="00964ADE"/>
    <w:rsid w:val="00970DAC"/>
    <w:rsid w:val="00986170"/>
    <w:rsid w:val="009945CE"/>
    <w:rsid w:val="009A79F7"/>
    <w:rsid w:val="009B4954"/>
    <w:rsid w:val="009B7B69"/>
    <w:rsid w:val="009B7FB5"/>
    <w:rsid w:val="009C5E0B"/>
    <w:rsid w:val="009C77D5"/>
    <w:rsid w:val="009D1B73"/>
    <w:rsid w:val="009E5EDA"/>
    <w:rsid w:val="009E78B0"/>
    <w:rsid w:val="009F411C"/>
    <w:rsid w:val="009F70B7"/>
    <w:rsid w:val="009F74FF"/>
    <w:rsid w:val="00A0732C"/>
    <w:rsid w:val="00A16CBC"/>
    <w:rsid w:val="00A23925"/>
    <w:rsid w:val="00A24878"/>
    <w:rsid w:val="00A360FC"/>
    <w:rsid w:val="00A36CBF"/>
    <w:rsid w:val="00A432D5"/>
    <w:rsid w:val="00A44558"/>
    <w:rsid w:val="00A462EC"/>
    <w:rsid w:val="00A470BF"/>
    <w:rsid w:val="00A55ECE"/>
    <w:rsid w:val="00A573FB"/>
    <w:rsid w:val="00A60296"/>
    <w:rsid w:val="00A72701"/>
    <w:rsid w:val="00A87552"/>
    <w:rsid w:val="00A87793"/>
    <w:rsid w:val="00A93170"/>
    <w:rsid w:val="00A94036"/>
    <w:rsid w:val="00A960CB"/>
    <w:rsid w:val="00A972A1"/>
    <w:rsid w:val="00AA0EBD"/>
    <w:rsid w:val="00AA5EB4"/>
    <w:rsid w:val="00AB3957"/>
    <w:rsid w:val="00AB7207"/>
    <w:rsid w:val="00AC3B6D"/>
    <w:rsid w:val="00AD7373"/>
    <w:rsid w:val="00AE2DFA"/>
    <w:rsid w:val="00AE7764"/>
    <w:rsid w:val="00B133ED"/>
    <w:rsid w:val="00B14EF5"/>
    <w:rsid w:val="00B310B5"/>
    <w:rsid w:val="00B37F0A"/>
    <w:rsid w:val="00B660D5"/>
    <w:rsid w:val="00B67D13"/>
    <w:rsid w:val="00B845E6"/>
    <w:rsid w:val="00B87ECA"/>
    <w:rsid w:val="00B90A04"/>
    <w:rsid w:val="00B90DC7"/>
    <w:rsid w:val="00B91847"/>
    <w:rsid w:val="00BA283E"/>
    <w:rsid w:val="00BD003C"/>
    <w:rsid w:val="00BE6D58"/>
    <w:rsid w:val="00BE736B"/>
    <w:rsid w:val="00BF337F"/>
    <w:rsid w:val="00C03331"/>
    <w:rsid w:val="00C17520"/>
    <w:rsid w:val="00C17915"/>
    <w:rsid w:val="00C22116"/>
    <w:rsid w:val="00C228B5"/>
    <w:rsid w:val="00C34A17"/>
    <w:rsid w:val="00C36449"/>
    <w:rsid w:val="00C5059C"/>
    <w:rsid w:val="00C5306C"/>
    <w:rsid w:val="00C5586A"/>
    <w:rsid w:val="00C72A41"/>
    <w:rsid w:val="00C76597"/>
    <w:rsid w:val="00CA2465"/>
    <w:rsid w:val="00CA4B8C"/>
    <w:rsid w:val="00CB0B2C"/>
    <w:rsid w:val="00CB1079"/>
    <w:rsid w:val="00CB1373"/>
    <w:rsid w:val="00CB5AE2"/>
    <w:rsid w:val="00CC2029"/>
    <w:rsid w:val="00CD2767"/>
    <w:rsid w:val="00CD5775"/>
    <w:rsid w:val="00CE3550"/>
    <w:rsid w:val="00CF0967"/>
    <w:rsid w:val="00D025C3"/>
    <w:rsid w:val="00D14F55"/>
    <w:rsid w:val="00D27652"/>
    <w:rsid w:val="00D34132"/>
    <w:rsid w:val="00D34136"/>
    <w:rsid w:val="00D441F2"/>
    <w:rsid w:val="00D76347"/>
    <w:rsid w:val="00D773A0"/>
    <w:rsid w:val="00D84362"/>
    <w:rsid w:val="00D857E4"/>
    <w:rsid w:val="00D96EC7"/>
    <w:rsid w:val="00DA48E6"/>
    <w:rsid w:val="00DA7FA1"/>
    <w:rsid w:val="00DB0621"/>
    <w:rsid w:val="00DB095B"/>
    <w:rsid w:val="00DB31CE"/>
    <w:rsid w:val="00DB5A99"/>
    <w:rsid w:val="00DB6611"/>
    <w:rsid w:val="00DC5198"/>
    <w:rsid w:val="00DC5584"/>
    <w:rsid w:val="00DD60D8"/>
    <w:rsid w:val="00DD7E17"/>
    <w:rsid w:val="00DE210D"/>
    <w:rsid w:val="00E011A1"/>
    <w:rsid w:val="00E03098"/>
    <w:rsid w:val="00E072D9"/>
    <w:rsid w:val="00E53DDE"/>
    <w:rsid w:val="00E578A0"/>
    <w:rsid w:val="00E61CCD"/>
    <w:rsid w:val="00E62117"/>
    <w:rsid w:val="00E62450"/>
    <w:rsid w:val="00E64897"/>
    <w:rsid w:val="00E732D9"/>
    <w:rsid w:val="00E75927"/>
    <w:rsid w:val="00E75C6B"/>
    <w:rsid w:val="00E7692F"/>
    <w:rsid w:val="00E7699E"/>
    <w:rsid w:val="00E94F46"/>
    <w:rsid w:val="00E96F32"/>
    <w:rsid w:val="00EA6389"/>
    <w:rsid w:val="00EB0E5E"/>
    <w:rsid w:val="00EB3F2E"/>
    <w:rsid w:val="00ED2832"/>
    <w:rsid w:val="00ED6F77"/>
    <w:rsid w:val="00EE745A"/>
    <w:rsid w:val="00EF20E3"/>
    <w:rsid w:val="00F04A5C"/>
    <w:rsid w:val="00F12F2E"/>
    <w:rsid w:val="00F14D97"/>
    <w:rsid w:val="00F16A2D"/>
    <w:rsid w:val="00F1743C"/>
    <w:rsid w:val="00F20A5B"/>
    <w:rsid w:val="00F245F7"/>
    <w:rsid w:val="00F26A7B"/>
    <w:rsid w:val="00F30278"/>
    <w:rsid w:val="00F373A5"/>
    <w:rsid w:val="00F41425"/>
    <w:rsid w:val="00F418C4"/>
    <w:rsid w:val="00F42A25"/>
    <w:rsid w:val="00F46DA1"/>
    <w:rsid w:val="00F65180"/>
    <w:rsid w:val="00F67AF7"/>
    <w:rsid w:val="00F804F5"/>
    <w:rsid w:val="00F87032"/>
    <w:rsid w:val="00FA1711"/>
    <w:rsid w:val="00FB13AE"/>
    <w:rsid w:val="00FC3D07"/>
    <w:rsid w:val="00FD0228"/>
    <w:rsid w:val="00FD1F98"/>
    <w:rsid w:val="00FD6C8B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09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95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DB095B"/>
    <w:rPr>
      <w:b/>
      <w:bCs/>
    </w:rPr>
  </w:style>
  <w:style w:type="character" w:styleId="a4">
    <w:name w:val="Emphasis"/>
    <w:uiPriority w:val="20"/>
    <w:qFormat/>
    <w:rsid w:val="00DB095B"/>
    <w:rPr>
      <w:i/>
      <w:iCs/>
    </w:rPr>
  </w:style>
  <w:style w:type="paragraph" w:styleId="a5">
    <w:name w:val="List Paragraph"/>
    <w:basedOn w:val="a"/>
    <w:uiPriority w:val="34"/>
    <w:qFormat/>
    <w:rsid w:val="00DB09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3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07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0A307D"/>
  </w:style>
  <w:style w:type="character" w:styleId="a9">
    <w:name w:val="annotation reference"/>
    <w:basedOn w:val="a0"/>
    <w:uiPriority w:val="99"/>
    <w:semiHidden/>
    <w:unhideWhenUsed/>
    <w:rsid w:val="000A30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0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07D"/>
    <w:rPr>
      <w:rFonts w:asciiTheme="minorHAnsi" w:eastAsiaTheme="minorEastAsia" w:hAnsiTheme="minorHAnsi" w:cstheme="minorBid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30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07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0DC9"/>
    <w:rPr>
      <w:color w:val="0000FF" w:themeColor="hyperlink"/>
      <w:u w:val="single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5757B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5757BA"/>
    <w:rPr>
      <w:rFonts w:asciiTheme="minorHAnsi" w:eastAsiaTheme="minorEastAsia" w:hAnsiTheme="minorHAnsi" w:cstheme="minorBidi"/>
      <w:b/>
      <w:bCs/>
      <w:lang w:eastAsia="ru-RU"/>
    </w:rPr>
  </w:style>
  <w:style w:type="paragraph" w:styleId="af1">
    <w:name w:val="No Spacing"/>
    <w:link w:val="af2"/>
    <w:uiPriority w:val="1"/>
    <w:qFormat/>
    <w:rsid w:val="002F17A7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A87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A87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5">
    <w:name w:val="Table Grid"/>
    <w:basedOn w:val="a1"/>
    <w:uiPriority w:val="59"/>
    <w:rsid w:val="008F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247D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47D4"/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526BD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f2">
    <w:name w:val="Без интервала Знак"/>
    <w:link w:val="af1"/>
    <w:uiPriority w:val="1"/>
    <w:rsid w:val="002A7793"/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5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6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.inesne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ma.inesne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kma-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es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smirnova</cp:lastModifiedBy>
  <cp:revision>323</cp:revision>
  <cp:lastPrinted>2017-02-02T09:38:00Z</cp:lastPrinted>
  <dcterms:created xsi:type="dcterms:W3CDTF">2015-06-27T14:15:00Z</dcterms:created>
  <dcterms:modified xsi:type="dcterms:W3CDTF">2017-03-14T17:49:00Z</dcterms:modified>
</cp:coreProperties>
</file>